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157"/>
        <w:gridCol w:w="4219"/>
      </w:tblGrid>
      <w:tr w:rsidR="007D4822" w14:paraId="1DE194FA" w14:textId="77777777">
        <w:tblPrEx>
          <w:tblCellMar>
            <w:top w:w="0" w:type="dxa"/>
            <w:bottom w:w="0" w:type="dxa"/>
          </w:tblCellMar>
        </w:tblPrEx>
        <w:tc>
          <w:tcPr>
            <w:tcW w:w="2750" w:type="pct"/>
            <w:vAlign w:val="center"/>
          </w:tcPr>
          <w:p w14:paraId="659D0BCE" w14:textId="77777777" w:rsidR="007D4822" w:rsidRDefault="00B90481">
            <w:r>
              <w:rPr>
                <w:noProof/>
              </w:rPr>
              <w:drawing>
                <wp:inline distT="0" distB="0" distL="0" distR="0" wp14:anchorId="711DB5EF" wp14:editId="1BD97ABA">
                  <wp:extent cx="876300" cy="2952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76300" cy="295275"/>
                          </a:xfrm>
                          <a:prstGeom prst="rect">
                            <a:avLst/>
                          </a:prstGeom>
                        </pic:spPr>
                      </pic:pic>
                    </a:graphicData>
                  </a:graphic>
                </wp:inline>
              </w:drawing>
            </w:r>
          </w:p>
          <w:p w14:paraId="54DAB9B2" w14:textId="77777777" w:rsidR="007D4822" w:rsidRDefault="00B90481">
            <w:pPr>
              <w:spacing w:before="40"/>
            </w:pPr>
            <w:r>
              <w:rPr>
                <w:b/>
                <w:bCs/>
                <w:sz w:val="26"/>
                <w:szCs w:val="26"/>
              </w:rPr>
              <w:t>SAĞLIK VE SOSYAL HİZMET İŞ</w:t>
            </w:r>
          </w:p>
          <w:p w14:paraId="6612D607" w14:textId="77777777" w:rsidR="007D4822" w:rsidRDefault="00B90481">
            <w:r>
              <w:rPr>
                <w:b/>
                <w:bCs/>
                <w:sz w:val="18"/>
                <w:szCs w:val="18"/>
              </w:rPr>
              <w:t>SSHÇ-İŞ</w:t>
            </w:r>
          </w:p>
        </w:tc>
        <w:tc>
          <w:tcPr>
            <w:tcW w:w="2250" w:type="pct"/>
            <w:vAlign w:val="center"/>
          </w:tcPr>
          <w:p w14:paraId="7BA9A7C0" w14:textId="77777777" w:rsidR="007D4822" w:rsidRDefault="00B90481">
            <w:pPr>
              <w:jc w:val="right"/>
            </w:pPr>
            <w:r>
              <w:rPr>
                <w:noProof/>
              </w:rPr>
              <w:drawing>
                <wp:inline distT="0" distB="0" distL="0" distR="0" wp14:anchorId="0145F070" wp14:editId="7325BB5F">
                  <wp:extent cx="800100" cy="276225"/>
                  <wp:effectExtent l="0" t="0" r="0" b="0"/>
                  <wp:docPr id="1493977310" name="Resim 149397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800100" cy="276225"/>
                          </a:xfrm>
                          <a:prstGeom prst="rect">
                            <a:avLst/>
                          </a:prstGeom>
                        </pic:spPr>
                      </pic:pic>
                    </a:graphicData>
                  </a:graphic>
                </wp:inline>
              </w:drawing>
            </w:r>
          </w:p>
          <w:p w14:paraId="36956F74" w14:textId="77777777" w:rsidR="007D4822" w:rsidRDefault="00B90481">
            <w:pPr>
              <w:jc w:val="right"/>
            </w:pPr>
            <w:r>
              <w:rPr>
                <w:i/>
                <w:iCs/>
                <w:sz w:val="18"/>
                <w:szCs w:val="18"/>
              </w:rPr>
              <w:t>“Sağlık ve Sosyal Hizmet İşçilerinin Geleceği”</w:t>
            </w:r>
          </w:p>
        </w:tc>
      </w:tr>
    </w:tbl>
    <w:p w14:paraId="721CFA82" w14:textId="77777777" w:rsidR="007D4822" w:rsidRDefault="007D4822">
      <w:pPr>
        <w:pBdr>
          <w:bottom w:val="single" w:sz="6" w:space="4" w:color="999999"/>
        </w:pBdr>
        <w:spacing w:after="200"/>
      </w:pPr>
    </w:p>
    <w:p w14:paraId="5CC33633" w14:textId="77777777" w:rsidR="007D4822" w:rsidRDefault="00B90481">
      <w:pPr>
        <w:spacing w:after="40" w:line="276" w:lineRule="auto"/>
      </w:pPr>
      <w:r>
        <w:rPr>
          <w:b/>
          <w:bCs/>
          <w:sz w:val="22"/>
          <w:szCs w:val="22"/>
        </w:rPr>
        <w:t>T.C.</w:t>
      </w:r>
    </w:p>
    <w:p w14:paraId="48032ECC" w14:textId="77777777" w:rsidR="007D4822" w:rsidRDefault="00B90481">
      <w:pPr>
        <w:spacing w:after="300" w:line="276" w:lineRule="auto"/>
      </w:pPr>
      <w:r>
        <w:rPr>
          <w:b/>
          <w:bCs/>
          <w:sz w:val="22"/>
          <w:szCs w:val="22"/>
        </w:rPr>
        <w:t>AİLE VE SOSYAL HİZMETLER BAKANLIĞINA</w:t>
      </w:r>
    </w:p>
    <w:p w14:paraId="3D273402" w14:textId="77777777" w:rsidR="007D4822" w:rsidRDefault="00B90481">
      <w:pPr>
        <w:spacing w:after="300" w:line="276" w:lineRule="auto"/>
        <w:jc w:val="both"/>
      </w:pPr>
      <w:r>
        <w:rPr>
          <w:b/>
          <w:bCs/>
          <w:sz w:val="22"/>
          <w:szCs w:val="22"/>
        </w:rPr>
        <w:t xml:space="preserve">Konu: </w:t>
      </w:r>
      <w:r>
        <w:rPr>
          <w:sz w:val="22"/>
          <w:szCs w:val="22"/>
        </w:rPr>
        <w:t>Gelecek Dönem Kamu Toplu İş Sözleşmeleri Çerçeve Protokolü ve Bakanlığınız Kapsamındaki Toplu İş Sözleşmesi Görüşmelerine Esas Olmak Üzere Sendikal Tavsiye, Teklif ve Taleplerimiz Hakkında.</w:t>
      </w:r>
    </w:p>
    <w:p w14:paraId="2402F9C9" w14:textId="77777777" w:rsidR="007D4822" w:rsidRDefault="00B90481">
      <w:pPr>
        <w:spacing w:after="240" w:line="276" w:lineRule="auto"/>
        <w:jc w:val="both"/>
      </w:pPr>
      <w:r>
        <w:rPr>
          <w:sz w:val="22"/>
          <w:szCs w:val="22"/>
        </w:rPr>
        <w:t>Sayın Bakanlık Makamına,</w:t>
      </w:r>
    </w:p>
    <w:p w14:paraId="21354B52" w14:textId="77777777" w:rsidR="007D4822" w:rsidRDefault="00B90481">
      <w:pPr>
        <w:spacing w:before="320" w:after="160"/>
      </w:pPr>
      <w:r>
        <w:rPr>
          <w:b/>
          <w:bCs/>
          <w:sz w:val="24"/>
          <w:szCs w:val="24"/>
        </w:rPr>
        <w:t>I. AÇIKLAMALAR</w:t>
      </w:r>
    </w:p>
    <w:p w14:paraId="14973E37" w14:textId="77777777" w:rsidR="007D4822" w:rsidRDefault="00B90481">
      <w:pPr>
        <w:spacing w:after="160" w:line="276" w:lineRule="auto"/>
        <w:jc w:val="both"/>
      </w:pPr>
      <w:r>
        <w:rPr>
          <w:sz w:val="22"/>
          <w:szCs w:val="22"/>
        </w:rPr>
        <w:t>Aile ve Sosyal Hizmetler Bakanlığı bünyesinde görev yapan kamu işçileri; huzurevleri, yaşlı bakım ve rehabilitasyon merkezleri, çocuk evleri siteleri, ilk kabul birimleri, bakım ve rehabilitasyon kuruluşları ile Bakanlığınızın diğer sosyal hizmet birimlerinde, Devletin sosyal hizmet yükümlülüğünü doğrudan yerine getirmektedir.</w:t>
      </w:r>
    </w:p>
    <w:p w14:paraId="093A8B04" w14:textId="77777777" w:rsidR="007D4822" w:rsidRDefault="00B90481">
      <w:pPr>
        <w:spacing w:after="160" w:line="276" w:lineRule="auto"/>
        <w:jc w:val="both"/>
      </w:pPr>
      <w:r>
        <w:rPr>
          <w:sz w:val="22"/>
          <w:szCs w:val="22"/>
        </w:rPr>
        <w:t>Özellikle bakım, temizlik ve güvenlik işçileri, sosyal hizmet kuruluşlarının 24 saat esasına göre kesintisiz çalışmasını sağlayan temel personel gruplarıdır.</w:t>
      </w:r>
    </w:p>
    <w:p w14:paraId="25F3D36C" w14:textId="77777777" w:rsidR="007D4822" w:rsidRDefault="00B90481">
      <w:pPr>
        <w:spacing w:after="160" w:line="276" w:lineRule="auto"/>
        <w:jc w:val="both"/>
      </w:pPr>
      <w:r>
        <w:rPr>
          <w:sz w:val="22"/>
          <w:szCs w:val="22"/>
        </w:rPr>
        <w:t>Bu nedenle kamu işçisinin çalışma koşullarının yalnızca ücret artışı üzerinden değerlendirilmesi yeterli değildir; görev tanımı, ücret adaleti, fiilî çalışma–kadro uyumu, meslek kodu, tayin, vardiya, 24 saat esaslı çalışma, dinlenme, iş güvencesi, görevde yükselme ve sendikal haklar bakımından kapsamlı ve kalıcı düzenlemelere ihtiyaç bulunmaktadır.</w:t>
      </w:r>
    </w:p>
    <w:p w14:paraId="1602AE34" w14:textId="77777777" w:rsidR="007D4822" w:rsidRDefault="00B90481">
      <w:pPr>
        <w:spacing w:after="200" w:line="276" w:lineRule="auto"/>
        <w:jc w:val="both"/>
      </w:pPr>
      <w:r>
        <w:rPr>
          <w:sz w:val="22"/>
          <w:szCs w:val="22"/>
        </w:rPr>
        <w:t>Aşağıda açıklanan hususlar, işbu dilekçenin II. bölümünde belirtilen mevzuat ve içtihat esas alınarak, yeni dönem toplu pazarlık sürecinde değerlendirilmek üzere arz olunmaktadır.</w:t>
      </w:r>
    </w:p>
    <w:p w14:paraId="7FE1BDCE" w14:textId="77777777" w:rsidR="007D4822" w:rsidRDefault="00B90481">
      <w:pPr>
        <w:spacing w:before="260" w:after="100"/>
      </w:pPr>
      <w:r>
        <w:rPr>
          <w:b/>
          <w:bCs/>
          <w:sz w:val="22"/>
          <w:szCs w:val="22"/>
        </w:rPr>
        <w:t>1. ÖZEL GÜVENLİK GÖREVLİLERİNİN İŞ GÜVENCESİ SAĞLANMALIDIR</w:t>
      </w:r>
    </w:p>
    <w:p w14:paraId="123B7B87" w14:textId="77777777" w:rsidR="007D4822" w:rsidRDefault="00B90481">
      <w:pPr>
        <w:spacing w:after="160" w:line="276" w:lineRule="auto"/>
        <w:jc w:val="both"/>
      </w:pPr>
      <w:r>
        <w:rPr>
          <w:sz w:val="22"/>
          <w:szCs w:val="22"/>
        </w:rPr>
        <w:t>Özel güvenlik kimlik kartının askıya alınması veya iptal edilmesi hâlinde, işçinin kamu hizmetinden tamamen koparılmasını önleyecek bir güvence mekanizması oluşturulmalıdır.</w:t>
      </w:r>
    </w:p>
    <w:p w14:paraId="0EFEAEE8" w14:textId="77777777" w:rsidR="007D4822" w:rsidRDefault="00B90481">
      <w:pPr>
        <w:spacing w:after="160" w:line="276" w:lineRule="auto"/>
        <w:jc w:val="both"/>
      </w:pPr>
      <w:r>
        <w:rPr>
          <w:sz w:val="22"/>
          <w:szCs w:val="22"/>
        </w:rPr>
        <w:t>İptal veya askıya alma sebebi başka bir kamu görevinde çalışmaya hukuken engel oluşturmuyorsa; işçinin eğitimi, deneyimi ve Bakanlığın personel ihtiyacı dikkate alınarak uygun bir pozisyonda istihdamının önü açılmalıdır.</w:t>
      </w:r>
    </w:p>
    <w:p w14:paraId="5B88AAFC" w14:textId="77777777" w:rsidR="007D4822" w:rsidRDefault="00B90481">
      <w:pPr>
        <w:spacing w:before="260" w:after="100"/>
      </w:pPr>
      <w:r>
        <w:rPr>
          <w:b/>
          <w:bCs/>
          <w:sz w:val="22"/>
          <w:szCs w:val="22"/>
        </w:rPr>
        <w:t>2. BAKIM PERSONELİNE UYGULANAN %7 ÜCRET FARKI, TEMİZLİK VE GÜVENLİK PERSONELİNE DE UYGULANMALIDIR</w:t>
      </w:r>
    </w:p>
    <w:p w14:paraId="251461EF" w14:textId="77777777" w:rsidR="007D4822" w:rsidRDefault="00B90481">
      <w:pPr>
        <w:spacing w:after="160" w:line="276" w:lineRule="auto"/>
        <w:jc w:val="both"/>
      </w:pPr>
      <w:r>
        <w:rPr>
          <w:sz w:val="22"/>
          <w:szCs w:val="22"/>
        </w:rPr>
        <w:t>Bu talep, Bakanlığınıza özgü ve öncelikli talebimizdir.</w:t>
      </w:r>
    </w:p>
    <w:p w14:paraId="19FDE63E" w14:textId="77777777" w:rsidR="007D4822" w:rsidRDefault="00B90481">
      <w:pPr>
        <w:spacing w:after="160" w:line="276" w:lineRule="auto"/>
        <w:jc w:val="both"/>
      </w:pPr>
      <w:r>
        <w:rPr>
          <w:sz w:val="22"/>
          <w:szCs w:val="22"/>
        </w:rPr>
        <w:t>Bakanlığınız kuruluşlarında bakım hizmetlerinin sürdürülebilmesi için bakım personeli kadar temizlik ve güvenlik personelinin emeği de zorunludur. Huzurevi, bakım merkezi ve benzeri kuruluşlarda hizmetin 24 saat kesintisiz sürdürülebilmesi; bakım, temizlik ve güvenlik hizmetlerinin birbirinden bağımsız düşünülemeyeceği bir çalışma düzenini ortaya çıkarmaktadır.</w:t>
      </w:r>
    </w:p>
    <w:p w14:paraId="3C7698E3" w14:textId="77777777" w:rsidR="007D4822" w:rsidRDefault="00B90481">
      <w:pPr>
        <w:spacing w:after="160" w:line="276" w:lineRule="auto"/>
        <w:jc w:val="both"/>
      </w:pPr>
      <w:r>
        <w:rPr>
          <w:sz w:val="22"/>
          <w:szCs w:val="22"/>
        </w:rPr>
        <w:t>Bu nedenle bakım personeline uygulanan %7 ücret farkının, çalışma koşulları, kuruluşların 24 saat esaslı hizmet yapısı ve iş barışının korunması dikkate alınarak temizlik ve güvenlik personeline de uygulanması talep edilmektedir.</w:t>
      </w:r>
    </w:p>
    <w:p w14:paraId="2CD4176E" w14:textId="77777777" w:rsidR="007D4822" w:rsidRDefault="00B90481">
      <w:pPr>
        <w:spacing w:after="160" w:line="276" w:lineRule="auto"/>
        <w:jc w:val="both"/>
      </w:pPr>
      <w:r>
        <w:rPr>
          <w:sz w:val="22"/>
          <w:szCs w:val="22"/>
        </w:rPr>
        <w:t>Anayasa'nın 10. maddesinde güvence altına alınan eşitlik ilkesi ile 4857 sayılı İş Kanunu'nun 5. maddesindeki eşit davranma ilkesi, işverenin işçilere karşı objektif ve hukuka uygun bir çalışma düzeni kurmasını gerektirmektedir.</w:t>
      </w:r>
    </w:p>
    <w:p w14:paraId="5F939E11" w14:textId="77777777" w:rsidR="007D4822" w:rsidRDefault="00B90481">
      <w:pPr>
        <w:spacing w:after="160" w:line="276" w:lineRule="auto"/>
        <w:jc w:val="both"/>
      </w:pPr>
      <w:r>
        <w:rPr>
          <w:sz w:val="22"/>
          <w:szCs w:val="22"/>
        </w:rPr>
        <w:t>Buradaki talebimiz her görev grubunun hiçbir farklılık gözetilmeksizin aynı ücreti alması şeklinde değil; aynı kuruluşta ağır, vardiyalı, kesintisiz ve sosyal hizmetin devamlılığı bakımından zorunlu görevleri yerine getiren işçiler arasındaki ücret farklılığının objektif ve hakkaniyete uygun kriterlere bağlanmasıdır.</w:t>
      </w:r>
    </w:p>
    <w:p w14:paraId="3D23DA7A" w14:textId="77777777" w:rsidR="007D4822" w:rsidRDefault="00B90481">
      <w:pPr>
        <w:spacing w:after="160" w:line="276" w:lineRule="auto"/>
        <w:jc w:val="both"/>
      </w:pPr>
      <w:r>
        <w:rPr>
          <w:sz w:val="22"/>
          <w:szCs w:val="22"/>
        </w:rPr>
        <w:t>Bu nedenle %7 oranındaki ücret farkının temizlik ve güvenlik personeline de genişletilmesi, toplu pazarlık gündemine alınmalıdır.</w:t>
      </w:r>
    </w:p>
    <w:p w14:paraId="23814E2B" w14:textId="77777777" w:rsidR="007D4822" w:rsidRDefault="00B90481">
      <w:pPr>
        <w:spacing w:before="260" w:after="100"/>
      </w:pPr>
      <w:r>
        <w:rPr>
          <w:b/>
          <w:bCs/>
          <w:sz w:val="22"/>
          <w:szCs w:val="22"/>
        </w:rPr>
        <w:t>3. ÜCRET ADALETİ VE İŞ BARIŞI SAĞLANMALIDIR</w:t>
      </w:r>
    </w:p>
    <w:p w14:paraId="32A084EA" w14:textId="77777777" w:rsidR="007D4822" w:rsidRDefault="00B90481">
      <w:pPr>
        <w:spacing w:after="160" w:line="276" w:lineRule="auto"/>
        <w:jc w:val="both"/>
      </w:pPr>
      <w:r>
        <w:rPr>
          <w:sz w:val="22"/>
          <w:szCs w:val="22"/>
        </w:rPr>
        <w:t>Anayasa'nın 55. maddesi uyarınca çalışanların yaptıkları işe uygun adaletli ücret elde etmeleri için gerekli tedbirlerin alınması gerekmektedir.</w:t>
      </w:r>
    </w:p>
    <w:p w14:paraId="5317CED0" w14:textId="77777777" w:rsidR="007D4822" w:rsidRDefault="00B90481">
      <w:pPr>
        <w:spacing w:after="160" w:line="276" w:lineRule="auto"/>
        <w:jc w:val="both"/>
      </w:pPr>
      <w:r>
        <w:rPr>
          <w:sz w:val="22"/>
          <w:szCs w:val="22"/>
        </w:rPr>
        <w:t>Aynı kuruluşta, benzer ağır çalışma koşullarında görev yapan işçiler arasında objektif gerekçeye dayanmayan ücret farklılıklarının çalışma barışını bozduğu dikkate alınarak ücret sistemi yeniden değerlendirilmelidir.</w:t>
      </w:r>
    </w:p>
    <w:p w14:paraId="5365D82E" w14:textId="77777777" w:rsidR="007D4822" w:rsidRDefault="00B90481">
      <w:pPr>
        <w:spacing w:before="260" w:after="100"/>
      </w:pPr>
      <w:r>
        <w:rPr>
          <w:b/>
          <w:bCs/>
          <w:sz w:val="22"/>
          <w:szCs w:val="22"/>
        </w:rPr>
        <w:t>4. GELİR VERGİSİ NEDENİYLE KAMU İŞÇİSİNİN ÜCRETİ ERİMEMELİDİR</w:t>
      </w:r>
    </w:p>
    <w:p w14:paraId="052335A8" w14:textId="77777777" w:rsidR="007D4822" w:rsidRDefault="00B90481">
      <w:pPr>
        <w:spacing w:after="160" w:line="276" w:lineRule="auto"/>
        <w:jc w:val="both"/>
      </w:pPr>
      <w:r>
        <w:rPr>
          <w:sz w:val="22"/>
          <w:szCs w:val="22"/>
        </w:rPr>
        <w:t>Kamu işçisinin toplu sözleşmeyle elde ettiği ücret artışlarının yıl içerisinde gelir vergisi nedeniyle önemli ölçüde kaybolmasının önüne geçilmelidir.</w:t>
      </w:r>
    </w:p>
    <w:p w14:paraId="32CE1273" w14:textId="77777777" w:rsidR="007D4822" w:rsidRDefault="00B90481">
      <w:pPr>
        <w:spacing w:after="160" w:line="276" w:lineRule="auto"/>
        <w:jc w:val="both"/>
      </w:pPr>
      <w:r>
        <w:rPr>
          <w:sz w:val="22"/>
          <w:szCs w:val="22"/>
        </w:rPr>
        <w:t>Ücret artışının gerçek anlamda işçinin eline geçmesini sağlayacak vergi düzenlemesi için gerekli girişimler gerçekleştirilmelidir.</w:t>
      </w:r>
    </w:p>
    <w:p w14:paraId="26A683E5" w14:textId="77777777" w:rsidR="007D4822" w:rsidRDefault="00B90481">
      <w:pPr>
        <w:spacing w:before="260" w:after="100"/>
      </w:pPr>
      <w:r>
        <w:rPr>
          <w:b/>
          <w:bCs/>
          <w:sz w:val="22"/>
          <w:szCs w:val="22"/>
        </w:rPr>
        <w:t>5. ŞARTSIZ VE OBJEKTİF TAYİN HAKKI TANINMALIDIR</w:t>
      </w:r>
    </w:p>
    <w:p w14:paraId="5D1EB1EB" w14:textId="77777777" w:rsidR="007D4822" w:rsidRDefault="00B90481">
      <w:pPr>
        <w:spacing w:after="160" w:line="276" w:lineRule="auto"/>
        <w:jc w:val="both"/>
      </w:pPr>
      <w:r>
        <w:rPr>
          <w:sz w:val="22"/>
          <w:szCs w:val="22"/>
        </w:rPr>
        <w:t>Bakanlığınız bünyesinde çalışan kamu işçilerinin tayin ve yer değişikliği işlemleri tamamen idari takdir alanında bırakılmamalıdır.</w:t>
      </w:r>
    </w:p>
    <w:p w14:paraId="7D9C7A61" w14:textId="77777777" w:rsidR="007D4822" w:rsidRDefault="00B90481">
      <w:pPr>
        <w:spacing w:after="160" w:line="276" w:lineRule="auto"/>
        <w:jc w:val="both"/>
      </w:pPr>
      <w:r>
        <w:rPr>
          <w:sz w:val="22"/>
          <w:szCs w:val="22"/>
        </w:rPr>
        <w:t>Aile birliği, sağlık, eğitim, eş durumu ve diğer haklı nedenlerin yanı sıra kıdem ve hizmet süresi de dikkate alınarak objektif, şeffaf ve denetlenebilir bir tayin sistemi oluşturulmalıdır.</w:t>
      </w:r>
    </w:p>
    <w:p w14:paraId="770FDEA9" w14:textId="77777777" w:rsidR="007D4822" w:rsidRDefault="00B90481">
      <w:pPr>
        <w:spacing w:before="260" w:after="100"/>
      </w:pPr>
      <w:r>
        <w:rPr>
          <w:b/>
          <w:bCs/>
          <w:sz w:val="22"/>
          <w:szCs w:val="22"/>
        </w:rPr>
        <w:t>6. HAFTALIK ÇALIŞMA SÜRESİ 40 SAATE İNDİRİLMELİDİR</w:t>
      </w:r>
    </w:p>
    <w:p w14:paraId="36DDEA2A" w14:textId="77777777" w:rsidR="007D4822" w:rsidRDefault="00B90481">
      <w:pPr>
        <w:spacing w:after="160" w:line="276" w:lineRule="auto"/>
        <w:jc w:val="both"/>
      </w:pPr>
      <w:r>
        <w:rPr>
          <w:sz w:val="22"/>
          <w:szCs w:val="22"/>
        </w:rPr>
        <w:t>4857 sayılı İş Kanunu'nun 63. maddesi genel çalışma süresini haftada en çok 45 saat olarak düzenlemektedir.</w:t>
      </w:r>
    </w:p>
    <w:p w14:paraId="7A6D0EF7" w14:textId="77777777" w:rsidR="007D4822" w:rsidRDefault="00B90481">
      <w:pPr>
        <w:spacing w:after="160" w:line="276" w:lineRule="auto"/>
        <w:jc w:val="both"/>
      </w:pPr>
      <w:r>
        <w:rPr>
          <w:sz w:val="22"/>
          <w:szCs w:val="22"/>
        </w:rPr>
        <w:t>Bakanlığınıza bağlı huzurevi, bakım ve rehabilitasyon merkezleri ile çocuk hizmet kuruluşlarında çalışan personelin uzun vardiyalara maruz kaldığı dikkate alınarak, kamu işçileri bakımından haftalık normal çalışma süresinin 40 saate indirilmesi toplu sözleşme talebi olarak kabul edilmelidir.</w:t>
      </w:r>
    </w:p>
    <w:p w14:paraId="44E42566" w14:textId="77777777" w:rsidR="007D4822" w:rsidRDefault="00B90481">
      <w:pPr>
        <w:spacing w:before="260" w:after="100"/>
      </w:pPr>
      <w:r>
        <w:rPr>
          <w:b/>
          <w:bCs/>
          <w:sz w:val="22"/>
          <w:szCs w:val="22"/>
        </w:rPr>
        <w:t>7. 24 SAAT ESASLI ÇALIŞMA SİSTEMLERİ HUKUKİ GÜVENCEYE BAĞLANMALIDIR</w:t>
      </w:r>
    </w:p>
    <w:p w14:paraId="7F7B83B5" w14:textId="77777777" w:rsidR="007D4822" w:rsidRDefault="00B90481">
      <w:pPr>
        <w:spacing w:after="160" w:line="276" w:lineRule="auto"/>
        <w:jc w:val="both"/>
      </w:pPr>
      <w:r>
        <w:rPr>
          <w:sz w:val="22"/>
          <w:szCs w:val="22"/>
        </w:rPr>
        <w:t>Kuruluşların 24 saat esasına göre hizmet vermesi ile işçinin 24 saat boyunca kesintisiz çalıştırılması birbirinden tamamen farklı kavramlardır.</w:t>
      </w:r>
    </w:p>
    <w:p w14:paraId="4078A5CC" w14:textId="77777777" w:rsidR="007D4822" w:rsidRDefault="00B90481">
      <w:pPr>
        <w:spacing w:after="160" w:line="276" w:lineRule="auto"/>
        <w:jc w:val="both"/>
      </w:pPr>
      <w:r>
        <w:rPr>
          <w:sz w:val="22"/>
          <w:szCs w:val="22"/>
        </w:rPr>
        <w:t>Vardiya sistemleri; çalışma süresi, ara dinlenmesi, fazla çalışma, hafta tatili ve dinlenme hakkı birlikte değerlendirilerek düzenlenmelidir.</w:t>
      </w:r>
    </w:p>
    <w:p w14:paraId="6F7D644A" w14:textId="77777777" w:rsidR="007D4822" w:rsidRDefault="00B90481">
      <w:pPr>
        <w:spacing w:after="160" w:line="276" w:lineRule="auto"/>
        <w:jc w:val="both"/>
      </w:pPr>
      <w:r>
        <w:rPr>
          <w:sz w:val="22"/>
          <w:szCs w:val="22"/>
        </w:rPr>
        <w:t>Özellikle bakım hizmetlerinde çalışan işçilerin yorgunluk nedeniyle hem kendi sağlıklarının hem de hizmet alan yaşlı ve çocukların güvenliğinin tehlikeye girmesine yol açabilecek çalışma modellerinden kaçınılmalıdır.</w:t>
      </w:r>
    </w:p>
    <w:p w14:paraId="387D5B47" w14:textId="77777777" w:rsidR="007D4822" w:rsidRDefault="00B90481">
      <w:pPr>
        <w:spacing w:before="260" w:after="100"/>
      </w:pPr>
      <w:r>
        <w:rPr>
          <w:b/>
          <w:bCs/>
          <w:sz w:val="22"/>
          <w:szCs w:val="22"/>
        </w:rPr>
        <w:t>8. GÖREV TANIMLARI NETLEŞTİRİLMELİDİR</w:t>
      </w:r>
    </w:p>
    <w:p w14:paraId="3C2377F4" w14:textId="77777777" w:rsidR="007D4822" w:rsidRDefault="00B90481">
      <w:pPr>
        <w:spacing w:after="160" w:line="276" w:lineRule="auto"/>
        <w:jc w:val="both"/>
      </w:pPr>
      <w:r>
        <w:rPr>
          <w:sz w:val="22"/>
          <w:szCs w:val="22"/>
        </w:rPr>
        <w:t>Temizlik işçisi temizlik, güvenlik görevlisi güvenlik, bakım personeli bakım hizmetleri kapsamında açık ve yazılı görev tanımlarına sahip olmalıdır.</w:t>
      </w:r>
    </w:p>
    <w:p w14:paraId="37BD9838" w14:textId="77777777" w:rsidR="007D4822" w:rsidRDefault="00B90481">
      <w:pPr>
        <w:spacing w:after="160" w:line="276" w:lineRule="auto"/>
        <w:jc w:val="both"/>
      </w:pPr>
      <w:r>
        <w:rPr>
          <w:sz w:val="22"/>
          <w:szCs w:val="22"/>
        </w:rPr>
        <w:t>İşçilerin sürekli ve sistematik biçimde asli görevlerinden farklı işlerde çalıştırılmasının önüne geçilmelidir.</w:t>
      </w:r>
    </w:p>
    <w:p w14:paraId="7F85683E" w14:textId="77777777" w:rsidR="007D4822" w:rsidRDefault="00B90481">
      <w:pPr>
        <w:spacing w:after="160" w:line="276" w:lineRule="auto"/>
        <w:jc w:val="both"/>
      </w:pPr>
      <w:r>
        <w:rPr>
          <w:sz w:val="22"/>
          <w:szCs w:val="22"/>
        </w:rPr>
        <w:t>Her işçiye görev tanımı yazılı olarak tebliğ edilmelidir.</w:t>
      </w:r>
    </w:p>
    <w:p w14:paraId="3BFD12CD" w14:textId="77777777" w:rsidR="007D4822" w:rsidRDefault="00B90481">
      <w:pPr>
        <w:spacing w:before="260" w:after="100"/>
      </w:pPr>
      <w:r>
        <w:rPr>
          <w:b/>
          <w:bCs/>
          <w:sz w:val="22"/>
          <w:szCs w:val="22"/>
        </w:rPr>
        <w:t>9. KADRO – FİİLİ ÇALIŞMA – MESLEK KODU UYUMU SAĞLANMALIDIR</w:t>
      </w:r>
    </w:p>
    <w:p w14:paraId="76C71B1C" w14:textId="77777777" w:rsidR="007D4822" w:rsidRDefault="00B90481">
      <w:pPr>
        <w:spacing w:after="160" w:line="276" w:lineRule="auto"/>
        <w:jc w:val="both"/>
      </w:pPr>
      <w:r>
        <w:rPr>
          <w:sz w:val="22"/>
          <w:szCs w:val="22"/>
        </w:rPr>
        <w:t>Yıllarca kadrosundan farklı işlerde çalıştırılan kamu işçilerinin mağduriyetleri giderilmelidir.</w:t>
      </w:r>
    </w:p>
    <w:p w14:paraId="4F67FCCE" w14:textId="77777777" w:rsidR="007D4822" w:rsidRDefault="00B90481">
      <w:pPr>
        <w:spacing w:after="160" w:line="276" w:lineRule="auto"/>
        <w:jc w:val="both"/>
      </w:pPr>
      <w:r>
        <w:rPr>
          <w:sz w:val="22"/>
          <w:szCs w:val="22"/>
        </w:rPr>
        <w:t>Özellikle temizlik kadrosunda olup fiilen bakım hizmeti yapan veya başka bir mesleğin görevlerini sürekli şekilde yerine getiren işçiler bakımından kadro, görev tanımı, meslek kodu ve fiili çalışma uyumu sağlanmalıdır.</w:t>
      </w:r>
    </w:p>
    <w:p w14:paraId="635A396F" w14:textId="77777777" w:rsidR="007D4822" w:rsidRDefault="00B90481">
      <w:pPr>
        <w:spacing w:before="260" w:after="100"/>
      </w:pPr>
      <w:r>
        <w:rPr>
          <w:b/>
          <w:bCs/>
          <w:sz w:val="22"/>
          <w:szCs w:val="22"/>
        </w:rPr>
        <w:t>10. GÖREVDE YÜKSELME VE UNVAN DEĞİŞİKLİĞİ SİSTEMİ KURULMALIDIR</w:t>
      </w:r>
    </w:p>
    <w:p w14:paraId="175A45EC" w14:textId="77777777" w:rsidR="007D4822" w:rsidRDefault="00B90481">
      <w:pPr>
        <w:spacing w:after="160" w:line="276" w:lineRule="auto"/>
        <w:jc w:val="both"/>
      </w:pPr>
      <w:r>
        <w:rPr>
          <w:sz w:val="22"/>
          <w:szCs w:val="22"/>
        </w:rPr>
        <w:t>Kamu işçilerinin kıdem, eğitim, sertifika, deneyim ve liyakat esaslarına göre görevde yükselebilmelerinin önü açılmalıdır.</w:t>
      </w:r>
    </w:p>
    <w:p w14:paraId="7D39261A" w14:textId="77777777" w:rsidR="007D4822" w:rsidRDefault="00B90481">
      <w:pPr>
        <w:spacing w:after="160" w:line="276" w:lineRule="auto"/>
        <w:jc w:val="both"/>
      </w:pPr>
      <w:r>
        <w:rPr>
          <w:sz w:val="22"/>
          <w:szCs w:val="22"/>
        </w:rPr>
        <w:t>Yıllarca aynı kuruluşta çalışan deneyimli işçilerin bilgi ve tecrübeleri kurumsal kariyer sisteminde değerlendirilmelidir.</w:t>
      </w:r>
    </w:p>
    <w:p w14:paraId="1477BC91" w14:textId="77777777" w:rsidR="007D4822" w:rsidRDefault="00B90481">
      <w:pPr>
        <w:spacing w:before="260" w:after="100"/>
      </w:pPr>
      <w:r>
        <w:rPr>
          <w:b/>
          <w:bCs/>
          <w:sz w:val="22"/>
          <w:szCs w:val="22"/>
        </w:rPr>
        <w:t>11. YEŞİL PASAPORT HAKKI TANINMALIDIR</w:t>
      </w:r>
    </w:p>
    <w:p w14:paraId="5089C996" w14:textId="77777777" w:rsidR="007D4822" w:rsidRDefault="00B90481">
      <w:pPr>
        <w:spacing w:after="160" w:line="276" w:lineRule="auto"/>
        <w:jc w:val="both"/>
      </w:pPr>
      <w:r>
        <w:rPr>
          <w:sz w:val="22"/>
          <w:szCs w:val="22"/>
        </w:rPr>
        <w:t>Uzun yıllar kamu hizmetinde görev yapan kamu işçilerine, gerekli kanuni şartların oluşturulması hâlinde hususi damgalı pasaport hakkının verilmesi amacıyla yasal düzenleme yapılmalıdır.</w:t>
      </w:r>
    </w:p>
    <w:p w14:paraId="51076133" w14:textId="77777777" w:rsidR="007D4822" w:rsidRDefault="00B90481">
      <w:pPr>
        <w:spacing w:before="260" w:after="100"/>
      </w:pPr>
      <w:r>
        <w:rPr>
          <w:b/>
          <w:bCs/>
          <w:sz w:val="22"/>
          <w:szCs w:val="22"/>
        </w:rPr>
        <w:t>12. SENDİKAL FAALİYET VE TEMSİLCİLİK GÜVENCESİ GÜÇLENDİRİLMELİDİR</w:t>
      </w:r>
    </w:p>
    <w:p w14:paraId="2328B5F9" w14:textId="77777777" w:rsidR="007D4822" w:rsidRDefault="00B90481">
      <w:pPr>
        <w:spacing w:after="160" w:line="276" w:lineRule="auto"/>
        <w:jc w:val="both"/>
      </w:pPr>
      <w:r>
        <w:rPr>
          <w:sz w:val="22"/>
          <w:szCs w:val="22"/>
        </w:rPr>
        <w:t>6356 sayılı Kanun sendikal özgürlüğü güvence altına almakta ve sendika üyeliği nedeniyle ayrımcılığı yasaklamaktadır. Ayrıca işyeri sendika temsilcilerine işçilerin hak ve çıkarlarını gözetme görevi yüklemektedir.</w:t>
      </w:r>
    </w:p>
    <w:p w14:paraId="6BD9E021" w14:textId="77777777" w:rsidR="007D4822" w:rsidRDefault="00B90481">
      <w:pPr>
        <w:spacing w:after="160" w:line="276" w:lineRule="auto"/>
        <w:jc w:val="both"/>
      </w:pPr>
      <w:r>
        <w:rPr>
          <w:sz w:val="22"/>
          <w:szCs w:val="22"/>
        </w:rPr>
        <w:t>Bu nedenle sendikal faaliyet nedeniyle işçinin görev yerinin, vardiyasının, çalışma düzeninin veya diğer çalışma koşullarının aleyhe değiştirilmesini önleyecek açık toplu sözleşme hükümleri oluşturulmalıdır.</w:t>
      </w:r>
    </w:p>
    <w:p w14:paraId="2078478E" w14:textId="77777777" w:rsidR="007D4822" w:rsidRDefault="00B90481">
      <w:pPr>
        <w:spacing w:before="260" w:after="100"/>
      </w:pPr>
      <w:r>
        <w:rPr>
          <w:b/>
          <w:bCs/>
          <w:sz w:val="22"/>
          <w:szCs w:val="22"/>
        </w:rPr>
        <w:t>13. TOPLU PAZARLIK GERÇEK ANLAMDA YAPILMALIDIR</w:t>
      </w:r>
    </w:p>
    <w:p w14:paraId="415DC5E9" w14:textId="77777777" w:rsidR="007D4822" w:rsidRDefault="00B90481">
      <w:pPr>
        <w:spacing w:after="160" w:line="276" w:lineRule="auto"/>
        <w:jc w:val="both"/>
      </w:pPr>
      <w:r>
        <w:rPr>
          <w:sz w:val="22"/>
          <w:szCs w:val="22"/>
        </w:rPr>
        <w:t>Anayasa'nın 53. maddesi işçilere toplu iş sözleşmesi hakkı tanımaktadır. AİHM'nin Demir ve Baykara/Türkiye kararında da toplu sözleşme hakkının sendika özgürlüğünün temel unsurlarından biri olduğu kabul edilmiştir.</w:t>
      </w:r>
    </w:p>
    <w:p w14:paraId="457E65BE" w14:textId="77777777" w:rsidR="007D4822" w:rsidRDefault="00B90481">
      <w:pPr>
        <w:spacing w:after="160" w:line="276" w:lineRule="auto"/>
        <w:jc w:val="both"/>
      </w:pPr>
      <w:r>
        <w:rPr>
          <w:sz w:val="22"/>
          <w:szCs w:val="22"/>
        </w:rPr>
        <w:t>Dolayısıyla toplu pazarlık süreci yalnızca tekliflerin alındığı şekli bir işlem olmamalıdır. Sendikaların teklifleri müzakere edilmeli, gerekçeli olarak değerlendirilip cevaplandırılmalı ve kabul edilen hususlar toplu iş sözleşmesine açık şekilde yansıtılmalıdır.</w:t>
      </w:r>
    </w:p>
    <w:p w14:paraId="1D120BA8" w14:textId="77777777" w:rsidR="007D4822" w:rsidRDefault="00B90481">
      <w:pPr>
        <w:spacing w:before="260" w:after="100"/>
      </w:pPr>
      <w:r>
        <w:rPr>
          <w:b/>
          <w:bCs/>
          <w:sz w:val="22"/>
          <w:szCs w:val="22"/>
        </w:rPr>
        <w:t>14. ILO STANDARTLARI TOPLU SÖZLEŞME SÜRECİNİN TEMELİNİ OLUŞTURMALIDIR</w:t>
      </w:r>
    </w:p>
    <w:p w14:paraId="5855F982" w14:textId="77777777" w:rsidR="007D4822" w:rsidRDefault="00B90481">
      <w:pPr>
        <w:spacing w:after="160" w:line="276" w:lineRule="auto"/>
        <w:jc w:val="both"/>
      </w:pPr>
      <w:r>
        <w:rPr>
          <w:sz w:val="22"/>
          <w:szCs w:val="22"/>
        </w:rPr>
        <w:t>Türkiye tarafından onaylanmış ve hâlen yürürlükte bulunan ILO'nun 98 sayılı Örgütlenme ve Toplu Pazarlık Hakkı Sözleşmesi bu alandaki temel uluslararası standardı oluşturmaktadır.</w:t>
      </w:r>
    </w:p>
    <w:p w14:paraId="7551C305" w14:textId="77777777" w:rsidR="007D4822" w:rsidRDefault="00B90481">
      <w:pPr>
        <w:spacing w:after="160" w:line="276" w:lineRule="auto"/>
        <w:jc w:val="both"/>
      </w:pPr>
      <w:r>
        <w:rPr>
          <w:sz w:val="22"/>
          <w:szCs w:val="22"/>
        </w:rPr>
        <w:t>ILO'nun 154 sayılı Toplu Pazarlık Sözleşmesi, Türkiye tarafından henüz onaylanmamış olmakla birlikte, toplu pazarlığın geliştirilmesine yönelik uluslararası çalışma standardı olarak toplu pazarlık sürecinde referans alınmasını talep etmekteyiz.</w:t>
      </w:r>
    </w:p>
    <w:p w14:paraId="5CB38C01" w14:textId="77777777" w:rsidR="007D4822" w:rsidRDefault="00B90481">
      <w:pPr>
        <w:spacing w:after="160" w:line="276" w:lineRule="auto"/>
        <w:jc w:val="both"/>
      </w:pPr>
      <w:r>
        <w:rPr>
          <w:sz w:val="22"/>
          <w:szCs w:val="22"/>
        </w:rPr>
        <w:t>Bu uluslararası standartlar doğrultusunda sendikaların toplu pazarlık sürecine etkin biçimde katılması sağlanmalıdır.</w:t>
      </w:r>
    </w:p>
    <w:p w14:paraId="6F0EDF7F" w14:textId="77777777" w:rsidR="007D4822" w:rsidRDefault="00B90481">
      <w:pPr>
        <w:spacing w:before="260" w:after="100"/>
      </w:pPr>
      <w:r>
        <w:rPr>
          <w:b/>
          <w:bCs/>
          <w:sz w:val="22"/>
          <w:szCs w:val="22"/>
        </w:rPr>
        <w:t>15. GREV HAKKININ ANAYASAL GÜVENCESİ KORUNMALIDIR</w:t>
      </w:r>
    </w:p>
    <w:p w14:paraId="28A102E0" w14:textId="77777777" w:rsidR="007D4822" w:rsidRDefault="00B90481">
      <w:pPr>
        <w:spacing w:after="160" w:line="276" w:lineRule="auto"/>
        <w:jc w:val="both"/>
      </w:pPr>
      <w:r>
        <w:rPr>
          <w:sz w:val="22"/>
          <w:szCs w:val="22"/>
        </w:rPr>
        <w:t>Anayasa'nın 54. maddesi, toplu iş sözleşmesi görüşmeleri sırasında uyuşmazlık çıkması hâlinde işçilerin grev hakkına sahip olduğunu düzenlemektedir.</w:t>
      </w:r>
    </w:p>
    <w:p w14:paraId="43F808E4" w14:textId="77777777" w:rsidR="007D4822" w:rsidRDefault="00B90481">
      <w:pPr>
        <w:spacing w:after="160" w:line="276" w:lineRule="auto"/>
        <w:jc w:val="both"/>
      </w:pPr>
      <w:r>
        <w:rPr>
          <w:sz w:val="22"/>
          <w:szCs w:val="22"/>
        </w:rPr>
        <w:t>6356 sayılı Kanun kapsamında yasal grev hakkının kullanımına ilişkin usul ve esaslar saklı kalmak üzere, toplu pazarlığın etkili olabilmesi için sendikal hakların özünü ortadan kaldıracak müdahalelerden kaçınılmalıdır.</w:t>
      </w:r>
    </w:p>
    <w:p w14:paraId="1D79F18A" w14:textId="77777777" w:rsidR="007D4822" w:rsidRDefault="00B90481">
      <w:pPr>
        <w:spacing w:before="320" w:after="160"/>
      </w:pPr>
      <w:r>
        <w:rPr>
          <w:b/>
          <w:bCs/>
          <w:sz w:val="24"/>
          <w:szCs w:val="24"/>
        </w:rPr>
        <w:t>II. HUKUKİ DAYANAK</w:t>
      </w:r>
    </w:p>
    <w:p w14:paraId="6A340562" w14:textId="77777777" w:rsidR="007D4822" w:rsidRDefault="00B90481">
      <w:pPr>
        <w:spacing w:after="160" w:line="276" w:lineRule="auto"/>
        <w:jc w:val="both"/>
      </w:pPr>
      <w:r>
        <w:rPr>
          <w:sz w:val="22"/>
          <w:szCs w:val="22"/>
        </w:rPr>
        <w:t>Yukarıda açıklanan taleplerimiz, aşağıda belirtilen ulusal ve uluslararası mevzuat ile yargısal içtihada dayanmaktadır:</w:t>
      </w:r>
    </w:p>
    <w:p w14:paraId="68BF8107" w14:textId="77777777" w:rsidR="007D4822" w:rsidRDefault="00B90481">
      <w:pPr>
        <w:pStyle w:val="ListeParagraf"/>
        <w:numPr>
          <w:ilvl w:val="0"/>
          <w:numId w:val="2"/>
        </w:numPr>
        <w:spacing w:after="120" w:line="276" w:lineRule="auto"/>
        <w:jc w:val="both"/>
      </w:pPr>
      <w:r>
        <w:rPr>
          <w:sz w:val="22"/>
          <w:szCs w:val="22"/>
        </w:rPr>
        <w:t>Anayasa m. 10 — Kanun önünde eşitlik ilkesi.</w:t>
      </w:r>
    </w:p>
    <w:p w14:paraId="15C5D01F" w14:textId="77777777" w:rsidR="007D4822" w:rsidRDefault="00B90481">
      <w:pPr>
        <w:pStyle w:val="ListeParagraf"/>
        <w:numPr>
          <w:ilvl w:val="0"/>
          <w:numId w:val="2"/>
        </w:numPr>
        <w:spacing w:after="120" w:line="276" w:lineRule="auto"/>
        <w:jc w:val="both"/>
      </w:pPr>
      <w:r>
        <w:rPr>
          <w:sz w:val="22"/>
          <w:szCs w:val="22"/>
        </w:rPr>
        <w:t>Anayasa m. 49 — Çalışma hakkı ve ödevi; Devletin çalışanları koruma ve çalışma hayatını geliştirme yükümlülüğü.</w:t>
      </w:r>
    </w:p>
    <w:p w14:paraId="60CE0249" w14:textId="77777777" w:rsidR="007D4822" w:rsidRDefault="00B90481">
      <w:pPr>
        <w:pStyle w:val="ListeParagraf"/>
        <w:numPr>
          <w:ilvl w:val="0"/>
          <w:numId w:val="2"/>
        </w:numPr>
        <w:spacing w:after="120" w:line="276" w:lineRule="auto"/>
        <w:jc w:val="both"/>
      </w:pPr>
      <w:r>
        <w:rPr>
          <w:sz w:val="22"/>
          <w:szCs w:val="22"/>
        </w:rPr>
        <w:t>Anayasa m. 51 — Sendika kurma hakkı.</w:t>
      </w:r>
    </w:p>
    <w:p w14:paraId="5A3AA03B" w14:textId="77777777" w:rsidR="007D4822" w:rsidRDefault="00B90481">
      <w:pPr>
        <w:pStyle w:val="ListeParagraf"/>
        <w:numPr>
          <w:ilvl w:val="0"/>
          <w:numId w:val="2"/>
        </w:numPr>
        <w:spacing w:after="120" w:line="276" w:lineRule="auto"/>
        <w:jc w:val="both"/>
      </w:pPr>
      <w:r>
        <w:rPr>
          <w:sz w:val="22"/>
          <w:szCs w:val="22"/>
        </w:rPr>
        <w:t>Anayasa m. 53 — Toplu iş sözleşmesi ve toplu sözleşme hakkı.</w:t>
      </w:r>
    </w:p>
    <w:p w14:paraId="1621DEFD" w14:textId="77777777" w:rsidR="007D4822" w:rsidRDefault="00B90481">
      <w:pPr>
        <w:pStyle w:val="ListeParagraf"/>
        <w:numPr>
          <w:ilvl w:val="0"/>
          <w:numId w:val="2"/>
        </w:numPr>
        <w:spacing w:after="120" w:line="276" w:lineRule="auto"/>
        <w:jc w:val="both"/>
      </w:pPr>
      <w:r>
        <w:rPr>
          <w:sz w:val="22"/>
          <w:szCs w:val="22"/>
        </w:rPr>
        <w:t>Anayasa m. 54 — Grev hakkı ve lokavt.</w:t>
      </w:r>
    </w:p>
    <w:p w14:paraId="2C744470" w14:textId="77777777" w:rsidR="007D4822" w:rsidRDefault="00B90481">
      <w:pPr>
        <w:pStyle w:val="ListeParagraf"/>
        <w:numPr>
          <w:ilvl w:val="0"/>
          <w:numId w:val="2"/>
        </w:numPr>
        <w:spacing w:after="120" w:line="276" w:lineRule="auto"/>
        <w:jc w:val="both"/>
      </w:pPr>
      <w:r>
        <w:rPr>
          <w:sz w:val="22"/>
          <w:szCs w:val="22"/>
        </w:rPr>
        <w:t>Anayasa m. 55 — Ücrette adaletin sağlanması.</w:t>
      </w:r>
    </w:p>
    <w:p w14:paraId="03723CD5" w14:textId="77777777" w:rsidR="007D4822" w:rsidRDefault="00B90481">
      <w:pPr>
        <w:pStyle w:val="ListeParagraf"/>
        <w:numPr>
          <w:ilvl w:val="0"/>
          <w:numId w:val="2"/>
        </w:numPr>
        <w:spacing w:after="120" w:line="276" w:lineRule="auto"/>
        <w:jc w:val="both"/>
      </w:pPr>
      <w:r>
        <w:rPr>
          <w:sz w:val="22"/>
          <w:szCs w:val="22"/>
        </w:rPr>
        <w:t>Anayasa m. 90 — Usulüne göre yürürlüğe konulmuş milletlerarası andlaşmaların kanun hükmünde olması.</w:t>
      </w:r>
    </w:p>
    <w:p w14:paraId="50945713" w14:textId="77777777" w:rsidR="007D4822" w:rsidRDefault="00B90481">
      <w:pPr>
        <w:pStyle w:val="ListeParagraf"/>
        <w:numPr>
          <w:ilvl w:val="0"/>
          <w:numId w:val="2"/>
        </w:numPr>
        <w:spacing w:after="120" w:line="276" w:lineRule="auto"/>
        <w:jc w:val="both"/>
      </w:pPr>
      <w:r>
        <w:rPr>
          <w:sz w:val="22"/>
          <w:szCs w:val="22"/>
        </w:rPr>
        <w:t>4857 sayılı İş Kanunu — özellikle m. 5 (eşit davranma ilkesi) ve m. 63 (haftalık çalışma süresi).</w:t>
      </w:r>
    </w:p>
    <w:p w14:paraId="65DD475F" w14:textId="77777777" w:rsidR="007D4822" w:rsidRDefault="00B90481">
      <w:pPr>
        <w:pStyle w:val="ListeParagraf"/>
        <w:numPr>
          <w:ilvl w:val="0"/>
          <w:numId w:val="2"/>
        </w:numPr>
        <w:spacing w:after="120" w:line="276" w:lineRule="auto"/>
        <w:jc w:val="both"/>
      </w:pPr>
      <w:r>
        <w:rPr>
          <w:sz w:val="22"/>
          <w:szCs w:val="22"/>
        </w:rPr>
        <w:t>6356 sayılı Sendikalar ve Toplu İş Sözleşmesi Kanunu.</w:t>
      </w:r>
    </w:p>
    <w:p w14:paraId="7507EEAF" w14:textId="77777777" w:rsidR="007D4822" w:rsidRDefault="00B90481">
      <w:pPr>
        <w:pStyle w:val="ListeParagraf"/>
        <w:numPr>
          <w:ilvl w:val="0"/>
          <w:numId w:val="2"/>
        </w:numPr>
        <w:spacing w:after="120" w:line="276" w:lineRule="auto"/>
        <w:jc w:val="both"/>
      </w:pPr>
      <w:r>
        <w:rPr>
          <w:sz w:val="22"/>
          <w:szCs w:val="22"/>
        </w:rPr>
        <w:t>6331 sayılı İş Sağlığı ve Güvenliği Kanunu.</w:t>
      </w:r>
    </w:p>
    <w:p w14:paraId="4C5CB459" w14:textId="77777777" w:rsidR="007D4822" w:rsidRDefault="00B90481">
      <w:pPr>
        <w:pStyle w:val="ListeParagraf"/>
        <w:numPr>
          <w:ilvl w:val="0"/>
          <w:numId w:val="2"/>
        </w:numPr>
        <w:spacing w:after="120" w:line="276" w:lineRule="auto"/>
        <w:jc w:val="both"/>
      </w:pPr>
      <w:r>
        <w:rPr>
          <w:sz w:val="22"/>
          <w:szCs w:val="22"/>
        </w:rPr>
        <w:t>ILO'nun 98 sayılı Örgütlenme ve Toplu Pazarlık Hakkı Sözleşmesi (Türkiye tarafından onaylanmış olup yürürlüktedir).</w:t>
      </w:r>
    </w:p>
    <w:p w14:paraId="1B7F8F14" w14:textId="77777777" w:rsidR="007D4822" w:rsidRDefault="00B90481">
      <w:pPr>
        <w:pStyle w:val="ListeParagraf"/>
        <w:numPr>
          <w:ilvl w:val="0"/>
          <w:numId w:val="2"/>
        </w:numPr>
        <w:spacing w:after="120" w:line="276" w:lineRule="auto"/>
        <w:jc w:val="both"/>
      </w:pPr>
      <w:r>
        <w:rPr>
          <w:sz w:val="22"/>
          <w:szCs w:val="22"/>
        </w:rPr>
        <w:t>ILO'nun 154 sayılı Toplu Pazarlık Sözleşmesi (Türkiye tarafından henüz onaylanmamış olup, uluslararası çalışma standardı olarak referans niteliğindedir).</w:t>
      </w:r>
    </w:p>
    <w:p w14:paraId="07A0B674" w14:textId="77777777" w:rsidR="007D4822" w:rsidRDefault="00B90481">
      <w:pPr>
        <w:pStyle w:val="ListeParagraf"/>
        <w:numPr>
          <w:ilvl w:val="0"/>
          <w:numId w:val="2"/>
        </w:numPr>
        <w:spacing w:after="120" w:line="276" w:lineRule="auto"/>
        <w:jc w:val="both"/>
      </w:pPr>
      <w:r>
        <w:rPr>
          <w:sz w:val="22"/>
          <w:szCs w:val="22"/>
        </w:rPr>
        <w:t>Avrupa İnsan Hakları Sözleşmesi m. 11 ve AİHM'nin Demir ve Baykara/Türkiye kararı (Büyük Daire, 12.11.2008) — toplu sözleşme hakkının örgütlenme özgürlüğünün asli unsurlarından biri olduğuna ilişkin içtihat.</w:t>
      </w:r>
    </w:p>
    <w:p w14:paraId="3B843EDB" w14:textId="77777777" w:rsidR="007D4822" w:rsidRDefault="00B90481">
      <w:pPr>
        <w:spacing w:before="320" w:after="160"/>
      </w:pPr>
      <w:r>
        <w:rPr>
          <w:b/>
          <w:bCs/>
          <w:sz w:val="24"/>
          <w:szCs w:val="24"/>
        </w:rPr>
        <w:t>III. SONUÇ VE TALEP</w:t>
      </w:r>
    </w:p>
    <w:p w14:paraId="5B6C32AC" w14:textId="77777777" w:rsidR="007D4822" w:rsidRDefault="00B90481">
      <w:pPr>
        <w:spacing w:after="160" w:line="276" w:lineRule="auto"/>
        <w:jc w:val="both"/>
      </w:pPr>
      <w:r>
        <w:rPr>
          <w:sz w:val="22"/>
          <w:szCs w:val="22"/>
        </w:rPr>
        <w:t>Yukarıda açıklanan hususlar doğrultusunda;</w:t>
      </w:r>
    </w:p>
    <w:p w14:paraId="60E0C587" w14:textId="77777777" w:rsidR="007D4822" w:rsidRDefault="00B90481">
      <w:pPr>
        <w:pStyle w:val="ListeParagraf"/>
        <w:numPr>
          <w:ilvl w:val="0"/>
          <w:numId w:val="3"/>
        </w:numPr>
        <w:spacing w:after="120" w:line="276" w:lineRule="auto"/>
        <w:jc w:val="both"/>
      </w:pPr>
      <w:r>
        <w:rPr>
          <w:sz w:val="22"/>
          <w:szCs w:val="22"/>
        </w:rPr>
        <w:t>Taleplerimizin, gelecek dönem Kamu Toplu İş Sözleşmeleri Çerçeve Protokolü hazırlıklarında değerlendirilmesini,</w:t>
      </w:r>
    </w:p>
    <w:p w14:paraId="2A06AC1A" w14:textId="77777777" w:rsidR="007D4822" w:rsidRDefault="00B90481">
      <w:pPr>
        <w:pStyle w:val="ListeParagraf"/>
        <w:numPr>
          <w:ilvl w:val="0"/>
          <w:numId w:val="3"/>
        </w:numPr>
        <w:spacing w:after="120" w:line="276" w:lineRule="auto"/>
        <w:jc w:val="both"/>
      </w:pPr>
      <w:r>
        <w:rPr>
          <w:sz w:val="22"/>
          <w:szCs w:val="22"/>
        </w:rPr>
        <w:t>Bakanlığınız bünyesinde yapılacak toplu iş sözleşmesi görüşmelerinde sendikamızın tekliflerinin ayrı ayrı müzakere edilmesini,</w:t>
      </w:r>
    </w:p>
    <w:p w14:paraId="5D05360A" w14:textId="77777777" w:rsidR="007D4822" w:rsidRDefault="00B90481">
      <w:pPr>
        <w:pStyle w:val="ListeParagraf"/>
        <w:numPr>
          <w:ilvl w:val="0"/>
          <w:numId w:val="3"/>
        </w:numPr>
        <w:spacing w:after="120" w:line="276" w:lineRule="auto"/>
        <w:jc w:val="both"/>
      </w:pPr>
      <w:r>
        <w:rPr>
          <w:sz w:val="22"/>
          <w:szCs w:val="22"/>
        </w:rPr>
        <w:t>Özellikle bakım personeline uygulanan %7 ücret farkının temizlik ve güvenlik personeline de uygulanmasının toplu pazarlık gündemine alınmasını,</w:t>
      </w:r>
    </w:p>
    <w:p w14:paraId="2BF6FA3F" w14:textId="77777777" w:rsidR="007D4822" w:rsidRDefault="00B90481">
      <w:pPr>
        <w:pStyle w:val="ListeParagraf"/>
        <w:numPr>
          <w:ilvl w:val="0"/>
          <w:numId w:val="3"/>
        </w:numPr>
        <w:spacing w:after="120" w:line="276" w:lineRule="auto"/>
        <w:jc w:val="both"/>
      </w:pPr>
      <w:r>
        <w:rPr>
          <w:sz w:val="22"/>
          <w:szCs w:val="22"/>
        </w:rPr>
        <w:t>Temizlik, güvenlik ve bakım personeli arasındaki ücret farklılıklarının çalışma barışını bozmayacak şekilde yeniden düzenlenmesini,</w:t>
      </w:r>
    </w:p>
    <w:p w14:paraId="3CEB09D8" w14:textId="77777777" w:rsidR="007D4822" w:rsidRDefault="00B90481">
      <w:pPr>
        <w:pStyle w:val="ListeParagraf"/>
        <w:numPr>
          <w:ilvl w:val="0"/>
          <w:numId w:val="3"/>
        </w:numPr>
        <w:spacing w:after="120" w:line="276" w:lineRule="auto"/>
        <w:jc w:val="both"/>
      </w:pPr>
      <w:r>
        <w:rPr>
          <w:sz w:val="22"/>
          <w:szCs w:val="22"/>
        </w:rPr>
        <w:t>Görev tanımlarının yazılı ve kesin hâle getirilmesini,</w:t>
      </w:r>
    </w:p>
    <w:p w14:paraId="1FE57DD6" w14:textId="77777777" w:rsidR="007D4822" w:rsidRDefault="00B90481">
      <w:pPr>
        <w:pStyle w:val="ListeParagraf"/>
        <w:numPr>
          <w:ilvl w:val="0"/>
          <w:numId w:val="3"/>
        </w:numPr>
        <w:spacing w:after="120" w:line="276" w:lineRule="auto"/>
        <w:jc w:val="both"/>
      </w:pPr>
      <w:r>
        <w:rPr>
          <w:sz w:val="22"/>
          <w:szCs w:val="22"/>
        </w:rPr>
        <w:t>Kadro, fiilî çalışma ve meslek kodu arasındaki uyumsuzlukların giderilmesini,</w:t>
      </w:r>
    </w:p>
    <w:p w14:paraId="42193077" w14:textId="77777777" w:rsidR="007D4822" w:rsidRDefault="00B90481">
      <w:pPr>
        <w:pStyle w:val="ListeParagraf"/>
        <w:numPr>
          <w:ilvl w:val="0"/>
          <w:numId w:val="3"/>
        </w:numPr>
        <w:spacing w:after="120" w:line="276" w:lineRule="auto"/>
        <w:jc w:val="both"/>
      </w:pPr>
      <w:r>
        <w:rPr>
          <w:sz w:val="22"/>
          <w:szCs w:val="22"/>
        </w:rPr>
        <w:t>Tayin ve yer değiştirme sisteminin objektif ve denetlenebilir hâle getirilmesini,</w:t>
      </w:r>
    </w:p>
    <w:p w14:paraId="5B652822" w14:textId="77777777" w:rsidR="007D4822" w:rsidRDefault="00B90481">
      <w:pPr>
        <w:pStyle w:val="ListeParagraf"/>
        <w:numPr>
          <w:ilvl w:val="0"/>
          <w:numId w:val="3"/>
        </w:numPr>
        <w:spacing w:after="120" w:line="276" w:lineRule="auto"/>
        <w:jc w:val="both"/>
      </w:pPr>
      <w:r>
        <w:rPr>
          <w:sz w:val="22"/>
          <w:szCs w:val="22"/>
        </w:rPr>
        <w:t>24 saat esaslı çalışma sisteminin, tüm personel için iş sağlığı, güvenliği ve dinlenme hakkı bakımından yeniden düzenlenmesini,</w:t>
      </w:r>
    </w:p>
    <w:p w14:paraId="52C19790" w14:textId="77777777" w:rsidR="007D4822" w:rsidRDefault="00B90481">
      <w:pPr>
        <w:pStyle w:val="ListeParagraf"/>
        <w:numPr>
          <w:ilvl w:val="0"/>
          <w:numId w:val="3"/>
        </w:numPr>
        <w:spacing w:after="120" w:line="276" w:lineRule="auto"/>
        <w:jc w:val="both"/>
      </w:pPr>
      <w:r>
        <w:rPr>
          <w:sz w:val="22"/>
          <w:szCs w:val="22"/>
        </w:rPr>
        <w:t>Sendikal faaliyetlerin ve sendika temsilcilerinin etkin biçimde korunmasını,</w:t>
      </w:r>
    </w:p>
    <w:p w14:paraId="67E048C6" w14:textId="77777777" w:rsidR="007D4822" w:rsidRDefault="00B90481">
      <w:pPr>
        <w:pStyle w:val="ListeParagraf"/>
        <w:numPr>
          <w:ilvl w:val="0"/>
          <w:numId w:val="3"/>
        </w:numPr>
        <w:spacing w:after="120" w:line="276" w:lineRule="auto"/>
        <w:jc w:val="both"/>
      </w:pPr>
      <w:r>
        <w:rPr>
          <w:sz w:val="22"/>
          <w:szCs w:val="22"/>
        </w:rPr>
        <w:t>Kamu işçilerinin ekonomik ve sosyal haklarının yanında çalışma hayatındaki yapısal sorunlarının da toplu sözleşmeyle çözüme kavuşturulmasını,</w:t>
      </w:r>
    </w:p>
    <w:p w14:paraId="2254CF7D" w14:textId="77777777" w:rsidR="007D4822" w:rsidRDefault="00B90481">
      <w:pPr>
        <w:pStyle w:val="ListeParagraf"/>
        <w:numPr>
          <w:ilvl w:val="0"/>
          <w:numId w:val="3"/>
        </w:numPr>
        <w:spacing w:after="120" w:line="276" w:lineRule="auto"/>
        <w:jc w:val="both"/>
      </w:pPr>
      <w:r>
        <w:rPr>
          <w:sz w:val="22"/>
          <w:szCs w:val="22"/>
        </w:rPr>
        <w:t>Sendikamızın görüş ve önerilerinin Bakanlığınız tarafından yazılı olarak değerlendirilmesini,</w:t>
      </w:r>
    </w:p>
    <w:p w14:paraId="2AA8B60B" w14:textId="77777777" w:rsidR="007D4822" w:rsidRDefault="00B90481">
      <w:pPr>
        <w:pStyle w:val="ListeParagraf"/>
        <w:numPr>
          <w:ilvl w:val="0"/>
          <w:numId w:val="3"/>
        </w:numPr>
        <w:spacing w:after="120" w:line="276" w:lineRule="auto"/>
        <w:jc w:val="both"/>
      </w:pPr>
      <w:r>
        <w:rPr>
          <w:sz w:val="22"/>
          <w:szCs w:val="22"/>
        </w:rPr>
        <w:t>Bu kapsamda sendikamız ile Bakanlığınız arasında doğrudan görüşme gerçekleştirilmesini,</w:t>
      </w:r>
    </w:p>
    <w:p w14:paraId="255C905A" w14:textId="77777777" w:rsidR="007D4822" w:rsidRDefault="00B90481">
      <w:pPr>
        <w:spacing w:after="400" w:line="276" w:lineRule="auto"/>
        <w:jc w:val="both"/>
      </w:pPr>
      <w:r>
        <w:rPr>
          <w:sz w:val="22"/>
          <w:szCs w:val="22"/>
        </w:rPr>
        <w:t>hususlarını arz ve talep ederiz.</w:t>
      </w:r>
    </w:p>
    <w:p w14:paraId="6B1A83B1" w14:textId="77777777" w:rsidR="007D4822" w:rsidRDefault="00B90481">
      <w:pPr>
        <w:spacing w:before="200" w:after="200"/>
        <w:jc w:val="center"/>
      </w:pPr>
      <w:r>
        <w:rPr>
          <w:noProof/>
        </w:rPr>
        <w:drawing>
          <wp:inline distT="0" distB="0" distL="0" distR="0" wp14:anchorId="09921EAE" wp14:editId="45AFBF1E">
            <wp:extent cx="3810000" cy="1524000"/>
            <wp:effectExtent l="0" t="0" r="0" b="0"/>
            <wp:docPr id="504014272" name="Resim 50401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810000" cy="1524000"/>
                    </a:xfrm>
                    <a:prstGeom prst="rect">
                      <a:avLst/>
                    </a:prstGeom>
                  </pic:spPr>
                </pic:pic>
              </a:graphicData>
            </a:graphic>
          </wp:inline>
        </w:drawing>
      </w:r>
    </w:p>
    <w:p w14:paraId="733B0393" w14:textId="77777777" w:rsidR="007D4822" w:rsidRDefault="00B90481">
      <w:pPr>
        <w:pBdr>
          <w:top w:val="single" w:sz="4" w:space="6" w:color="999999"/>
        </w:pBdr>
        <w:spacing w:before="300"/>
        <w:jc w:val="center"/>
      </w:pPr>
      <w:r>
        <w:rPr>
          <w:sz w:val="16"/>
          <w:szCs w:val="16"/>
        </w:rPr>
        <w:t>Cumhuriyet Mh. Porsuk Blv. Dilem Sk. Çağlayan İş Merkezi No: 1 K: 3 D: 39 ESKİŞEHİR</w:t>
      </w:r>
    </w:p>
    <w:p w14:paraId="3A051C5C" w14:textId="77777777" w:rsidR="007D4822" w:rsidRDefault="00B90481">
      <w:pPr>
        <w:jc w:val="center"/>
      </w:pPr>
      <w:r>
        <w:rPr>
          <w:sz w:val="16"/>
          <w:szCs w:val="16"/>
        </w:rPr>
        <w:t>www.sschis.com.tr</w:t>
      </w:r>
    </w:p>
    <w:sectPr w:rsidR="007D4822">
      <w:pgSz w:w="11902" w:h="16834"/>
      <w:pgMar w:top="1440" w:right="1526" w:bottom="144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36C2"/>
    <w:multiLevelType w:val="hybridMultilevel"/>
    <w:tmpl w:val="FFFFFFFF"/>
    <w:lvl w:ilvl="0" w:tplc="D07CC2FE">
      <w:start w:val="1"/>
      <w:numFmt w:val="bullet"/>
      <w:lvlText w:val="●"/>
      <w:lvlJc w:val="left"/>
      <w:pPr>
        <w:ind w:left="720" w:hanging="360"/>
      </w:pPr>
    </w:lvl>
    <w:lvl w:ilvl="1" w:tplc="158CF9A0">
      <w:start w:val="1"/>
      <w:numFmt w:val="bullet"/>
      <w:lvlText w:val="○"/>
      <w:lvlJc w:val="left"/>
      <w:pPr>
        <w:ind w:left="1440" w:hanging="360"/>
      </w:pPr>
    </w:lvl>
    <w:lvl w:ilvl="2" w:tplc="088A18FE">
      <w:start w:val="1"/>
      <w:numFmt w:val="bullet"/>
      <w:lvlText w:val="■"/>
      <w:lvlJc w:val="left"/>
      <w:pPr>
        <w:ind w:left="2160" w:hanging="360"/>
      </w:pPr>
    </w:lvl>
    <w:lvl w:ilvl="3" w:tplc="0A8C0784">
      <w:start w:val="1"/>
      <w:numFmt w:val="bullet"/>
      <w:lvlText w:val="●"/>
      <w:lvlJc w:val="left"/>
      <w:pPr>
        <w:ind w:left="2880" w:hanging="360"/>
      </w:pPr>
    </w:lvl>
    <w:lvl w:ilvl="4" w:tplc="98C43F86">
      <w:start w:val="1"/>
      <w:numFmt w:val="bullet"/>
      <w:lvlText w:val="○"/>
      <w:lvlJc w:val="left"/>
      <w:pPr>
        <w:ind w:left="3600" w:hanging="360"/>
      </w:pPr>
    </w:lvl>
    <w:lvl w:ilvl="5" w:tplc="62DAD104">
      <w:start w:val="1"/>
      <w:numFmt w:val="bullet"/>
      <w:lvlText w:val="■"/>
      <w:lvlJc w:val="left"/>
      <w:pPr>
        <w:ind w:left="4320" w:hanging="360"/>
      </w:pPr>
    </w:lvl>
    <w:lvl w:ilvl="6" w:tplc="25E8C178">
      <w:start w:val="1"/>
      <w:numFmt w:val="bullet"/>
      <w:lvlText w:val="●"/>
      <w:lvlJc w:val="left"/>
      <w:pPr>
        <w:ind w:left="5040" w:hanging="360"/>
      </w:pPr>
    </w:lvl>
    <w:lvl w:ilvl="7" w:tplc="D548B518">
      <w:start w:val="1"/>
      <w:numFmt w:val="bullet"/>
      <w:lvlText w:val="●"/>
      <w:lvlJc w:val="left"/>
      <w:pPr>
        <w:ind w:left="5760" w:hanging="360"/>
      </w:pPr>
    </w:lvl>
    <w:lvl w:ilvl="8" w:tplc="D35E6188">
      <w:start w:val="1"/>
      <w:numFmt w:val="bullet"/>
      <w:lvlText w:val="●"/>
      <w:lvlJc w:val="left"/>
      <w:pPr>
        <w:ind w:left="6480" w:hanging="360"/>
      </w:pPr>
    </w:lvl>
  </w:abstractNum>
  <w:abstractNum w:abstractNumId="1" w15:restartNumberingAfterBreak="0">
    <w:nsid w:val="4D4A63C7"/>
    <w:multiLevelType w:val="hybridMultilevel"/>
    <w:tmpl w:val="FFFFFFFF"/>
    <w:lvl w:ilvl="0" w:tplc="0AB29D3E">
      <w:start w:val="1"/>
      <w:numFmt w:val="decimal"/>
      <w:lvlText w:val="%1."/>
      <w:lvlJc w:val="left"/>
      <w:pPr>
        <w:ind w:left="720" w:hanging="360"/>
      </w:pPr>
    </w:lvl>
    <w:lvl w:ilvl="1" w:tplc="E0223496">
      <w:numFmt w:val="decimal"/>
      <w:lvlText w:val=""/>
      <w:lvlJc w:val="left"/>
    </w:lvl>
    <w:lvl w:ilvl="2" w:tplc="B33822BC">
      <w:numFmt w:val="decimal"/>
      <w:lvlText w:val=""/>
      <w:lvlJc w:val="left"/>
    </w:lvl>
    <w:lvl w:ilvl="3" w:tplc="D39E0E60">
      <w:numFmt w:val="decimal"/>
      <w:lvlText w:val=""/>
      <w:lvlJc w:val="left"/>
    </w:lvl>
    <w:lvl w:ilvl="4" w:tplc="C13EFF82">
      <w:numFmt w:val="decimal"/>
      <w:lvlText w:val=""/>
      <w:lvlJc w:val="left"/>
    </w:lvl>
    <w:lvl w:ilvl="5" w:tplc="A3A223D8">
      <w:numFmt w:val="decimal"/>
      <w:lvlText w:val=""/>
      <w:lvlJc w:val="left"/>
    </w:lvl>
    <w:lvl w:ilvl="6" w:tplc="601A30F2">
      <w:numFmt w:val="decimal"/>
      <w:lvlText w:val=""/>
      <w:lvlJc w:val="left"/>
    </w:lvl>
    <w:lvl w:ilvl="7" w:tplc="06789CAA">
      <w:numFmt w:val="decimal"/>
      <w:lvlText w:val=""/>
      <w:lvlJc w:val="left"/>
    </w:lvl>
    <w:lvl w:ilvl="8" w:tplc="9890686E">
      <w:numFmt w:val="decimal"/>
      <w:lvlText w:val=""/>
      <w:lvlJc w:val="left"/>
    </w:lvl>
  </w:abstractNum>
  <w:abstractNum w:abstractNumId="2" w15:restartNumberingAfterBreak="0">
    <w:nsid w:val="5D500868"/>
    <w:multiLevelType w:val="hybridMultilevel"/>
    <w:tmpl w:val="FFFFFFFF"/>
    <w:lvl w:ilvl="0" w:tplc="7D828368">
      <w:start w:val="1"/>
      <w:numFmt w:val="decimal"/>
      <w:lvlText w:val="%1."/>
      <w:lvlJc w:val="left"/>
      <w:pPr>
        <w:ind w:left="720" w:hanging="360"/>
      </w:pPr>
    </w:lvl>
    <w:lvl w:ilvl="1" w:tplc="BBFC332C">
      <w:numFmt w:val="decimal"/>
      <w:lvlText w:val=""/>
      <w:lvlJc w:val="left"/>
    </w:lvl>
    <w:lvl w:ilvl="2" w:tplc="81F2AA32">
      <w:numFmt w:val="decimal"/>
      <w:lvlText w:val=""/>
      <w:lvlJc w:val="left"/>
    </w:lvl>
    <w:lvl w:ilvl="3" w:tplc="E59E5C4A">
      <w:numFmt w:val="decimal"/>
      <w:lvlText w:val=""/>
      <w:lvlJc w:val="left"/>
    </w:lvl>
    <w:lvl w:ilvl="4" w:tplc="E03AD1F8">
      <w:numFmt w:val="decimal"/>
      <w:lvlText w:val=""/>
      <w:lvlJc w:val="left"/>
    </w:lvl>
    <w:lvl w:ilvl="5" w:tplc="C554BDB4">
      <w:numFmt w:val="decimal"/>
      <w:lvlText w:val=""/>
      <w:lvlJc w:val="left"/>
    </w:lvl>
    <w:lvl w:ilvl="6" w:tplc="3DDC78DC">
      <w:numFmt w:val="decimal"/>
      <w:lvlText w:val=""/>
      <w:lvlJc w:val="left"/>
    </w:lvl>
    <w:lvl w:ilvl="7" w:tplc="2AB4B964">
      <w:numFmt w:val="decimal"/>
      <w:lvlText w:val=""/>
      <w:lvlJc w:val="left"/>
    </w:lvl>
    <w:lvl w:ilvl="8" w:tplc="BB56563E">
      <w:numFmt w:val="decimal"/>
      <w:lvlText w:val=""/>
      <w:lvlJc w:val="left"/>
    </w:lvl>
  </w:abstractNum>
  <w:num w:numId="1" w16cid:durableId="458650383">
    <w:abstractNumId w:val="0"/>
    <w:lvlOverride w:ilvl="0">
      <w:startOverride w:val="1"/>
    </w:lvlOverride>
  </w:num>
  <w:num w:numId="2" w16cid:durableId="1783646022">
    <w:abstractNumId w:val="2"/>
    <w:lvlOverride w:ilvl="0">
      <w:startOverride w:val="1"/>
    </w:lvlOverride>
  </w:num>
  <w:num w:numId="3" w16cid:durableId="99734882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22"/>
    <w:rsid w:val="007D4822"/>
    <w:rsid w:val="00B90481"/>
    <w:rsid w:val="00CB74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8EB2F4E"/>
  <w15:docId w15:val="{E31E4685-FFD3-B64F-A6D5-379A851C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g" /><Relationship Id="rId5" Type="http://schemas.openxmlformats.org/officeDocument/2006/relationships/image" Target="media/image1.jp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1705</Words>
  <Characters>9722</Characters>
  <Application>Microsoft Office Word</Application>
  <DocSecurity>0</DocSecurity>
  <Lines>81</Lines>
  <Paragraphs>22</Paragraphs>
  <ScaleCrop>false</ScaleCrop>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Salih Bıçak</cp:lastModifiedBy>
  <cp:revision>2</cp:revision>
  <dcterms:created xsi:type="dcterms:W3CDTF">2026-09-04T09:48:00Z</dcterms:created>
  <dcterms:modified xsi:type="dcterms:W3CDTF">2026-09-04T09:48:00Z</dcterms:modified>
</cp:coreProperties>
</file>